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343F1" w:rsidRPr="00C954BD" w:rsidRDefault="001E539D" w:rsidP="002343F1">
      <w:pPr>
        <w:pBdr>
          <w:bottom w:val="single" w:sz="4" w:space="1" w:color="auto"/>
        </w:pBdr>
        <w:spacing w:after="0" w:line="240" w:lineRule="auto"/>
        <w:jc w:val="center"/>
        <w:rPr>
          <w:rStyle w:val="st"/>
          <w:rFonts w:ascii="Garamond" w:eastAsiaTheme="minorEastAsia" w:hAnsi="Garamond" w:cstheme="minorBidi"/>
          <w:b/>
          <w:sz w:val="24"/>
          <w:szCs w:val="24"/>
          <w:u w:val="single"/>
          <w:lang w:eastAsia="fr-FR"/>
        </w:rPr>
      </w:pPr>
      <w:r w:rsidRPr="00C954BD">
        <w:rPr>
          <w:rStyle w:val="st"/>
          <w:rFonts w:ascii="Garamond" w:hAnsi="Garamond" w:cs="Tahoma"/>
          <w:b/>
        </w:rPr>
        <w:t xml:space="preserve">Fédération de l’Oise du PCF • 8, rue de </w:t>
      </w:r>
      <w:proofErr w:type="spellStart"/>
      <w:r w:rsidRPr="00C954BD">
        <w:rPr>
          <w:rStyle w:val="st"/>
          <w:rFonts w:ascii="Garamond" w:hAnsi="Garamond" w:cs="Tahoma"/>
          <w:b/>
        </w:rPr>
        <w:t>Beauvoisis</w:t>
      </w:r>
      <w:proofErr w:type="spellEnd"/>
      <w:r w:rsidRPr="00C954BD">
        <w:rPr>
          <w:rStyle w:val="st"/>
          <w:rFonts w:ascii="Garamond" w:hAnsi="Garamond" w:cs="Tahoma"/>
          <w:b/>
        </w:rPr>
        <w:t xml:space="preserve"> • 60100 CREIL</w:t>
      </w:r>
      <w:r w:rsidR="00C954BD">
        <w:rPr>
          <w:rStyle w:val="st"/>
          <w:rFonts w:ascii="Garamond" w:hAnsi="Garamond" w:cs="Tahoma"/>
          <w:b/>
        </w:rPr>
        <w:t xml:space="preserve"> </w:t>
      </w:r>
      <w:r w:rsidR="002343F1" w:rsidRPr="00C954BD">
        <w:rPr>
          <w:rStyle w:val="st"/>
          <w:rFonts w:ascii="Garamond" w:hAnsi="Garamond" w:cs="Tahoma"/>
          <w:b/>
        </w:rPr>
        <w:t xml:space="preserve"> –</w:t>
      </w:r>
      <w:r w:rsidR="00C954BD">
        <w:rPr>
          <w:rStyle w:val="st"/>
          <w:rFonts w:ascii="Garamond" w:hAnsi="Garamond" w:cs="Tahoma"/>
          <w:b/>
        </w:rPr>
        <w:t xml:space="preserve"> </w:t>
      </w:r>
      <w:r w:rsidRPr="00C954BD">
        <w:rPr>
          <w:rStyle w:val="st"/>
          <w:rFonts w:ascii="Garamond" w:hAnsi="Garamond" w:cs="Tahoma"/>
          <w:b/>
        </w:rPr>
        <w:t xml:space="preserve"> </w:t>
      </w:r>
      <w:r w:rsidR="002343F1" w:rsidRPr="00C954BD">
        <w:rPr>
          <w:rStyle w:val="st"/>
          <w:rFonts w:ascii="Garamond" w:hAnsi="Garamond" w:cs="Tahoma"/>
          <w:b/>
        </w:rPr>
        <w:t xml:space="preserve">Tél : </w:t>
      </w:r>
      <w:r w:rsidRPr="00C954BD">
        <w:rPr>
          <w:rStyle w:val="st"/>
          <w:rFonts w:ascii="Garamond" w:hAnsi="Garamond" w:cs="Tahoma"/>
          <w:b/>
        </w:rPr>
        <w:t>03 44 55 27 96</w:t>
      </w:r>
    </w:p>
    <w:p w:rsidR="002343F1" w:rsidRPr="00C954BD" w:rsidRDefault="002516FD" w:rsidP="002343F1">
      <w:pPr>
        <w:pBdr>
          <w:bottom w:val="single" w:sz="4" w:space="1" w:color="auto"/>
        </w:pBdr>
        <w:spacing w:after="0" w:line="240" w:lineRule="auto"/>
        <w:jc w:val="center"/>
        <w:rPr>
          <w:rStyle w:val="st"/>
        </w:rPr>
      </w:pPr>
      <w:hyperlink r:id="rId5" w:history="1">
        <w:r w:rsidR="001E539D" w:rsidRPr="00C954BD">
          <w:rPr>
            <w:rStyle w:val="Lienhypertexte"/>
            <w:rFonts w:ascii="Consolas" w:hAnsi="Consolas" w:cs="Tahoma"/>
            <w:b/>
          </w:rPr>
          <w:t>pcf.oise@wanadoo.fr</w:t>
        </w:r>
      </w:hyperlink>
      <w:r w:rsidR="002343F1" w:rsidRPr="00C954BD">
        <w:rPr>
          <w:rStyle w:val="st"/>
          <w:rFonts w:ascii="Consolas" w:hAnsi="Consolas" w:cs="Tahoma"/>
          <w:b/>
        </w:rPr>
        <w:t xml:space="preserve"> - </w:t>
      </w:r>
      <w:hyperlink r:id="rId6" w:history="1">
        <w:r w:rsidR="001E539D" w:rsidRPr="00C954BD">
          <w:rPr>
            <w:rStyle w:val="Lienhypertexte"/>
            <w:rFonts w:ascii="Consolas" w:hAnsi="Consolas" w:cs="Tahoma"/>
            <w:b/>
          </w:rPr>
          <w:t>http://oise.pcf.fr</w:t>
        </w:r>
      </w:hyperlink>
    </w:p>
    <w:p w:rsidR="00C954BD" w:rsidRDefault="00C954BD" w:rsidP="002306F8">
      <w:pPr>
        <w:spacing w:before="180" w:after="0" w:line="240" w:lineRule="auto"/>
        <w:jc w:val="center"/>
        <w:rPr>
          <w:rStyle w:val="st"/>
        </w:rPr>
      </w:pPr>
      <w:r>
        <w:rPr>
          <w:rStyle w:val="st"/>
          <w:b/>
          <w:sz w:val="52"/>
        </w:rPr>
        <w:t>CONTRE LA HAUSSE DE LA TVA</w:t>
      </w:r>
    </w:p>
    <w:p w:rsidR="000F7224" w:rsidRPr="002306F8" w:rsidRDefault="000F7224" w:rsidP="00C954BD">
      <w:pPr>
        <w:spacing w:line="240" w:lineRule="auto"/>
        <w:jc w:val="center"/>
        <w:rPr>
          <w:rStyle w:val="st"/>
          <w:sz w:val="52"/>
        </w:rPr>
      </w:pPr>
      <w:r w:rsidRPr="002306F8">
        <w:rPr>
          <w:rStyle w:val="st"/>
          <w:b/>
          <w:sz w:val="52"/>
        </w:rPr>
        <w:t>POUR DES IMPOTS PLUS JUSTES</w:t>
      </w:r>
    </w:p>
    <w:p w:rsidR="000F7224" w:rsidRPr="002343F1" w:rsidRDefault="000F7224" w:rsidP="002343F1">
      <w:pPr>
        <w:spacing w:after="120" w:line="240" w:lineRule="auto"/>
        <w:rPr>
          <w:rStyle w:val="st"/>
        </w:rPr>
      </w:pPr>
      <w:r w:rsidRPr="002343F1">
        <w:rPr>
          <w:rStyle w:val="st"/>
        </w:rPr>
        <w:t xml:space="preserve">Nous ne sommes pas « contre » les impôts qui sont nécessaires pour financer les services publics, les équipements publics utiles à la population. Mais il faut revoir complètement le calcul des impôts pour les rendre plus justes. </w:t>
      </w:r>
    </w:p>
    <w:p w:rsidR="000F7224" w:rsidRPr="002343F1" w:rsidRDefault="001E539D" w:rsidP="001E539D">
      <w:pPr>
        <w:spacing w:after="120" w:line="240" w:lineRule="auto"/>
        <w:rPr>
          <w:rStyle w:val="st"/>
        </w:rPr>
      </w:pPr>
      <w:r>
        <w:rPr>
          <w:rStyle w:val="st"/>
          <w:b/>
          <w:u w:val="single"/>
        </w:rPr>
        <w:t>Nous</w:t>
      </w:r>
      <w:r w:rsidR="000F7224" w:rsidRPr="002343F1">
        <w:rPr>
          <w:rStyle w:val="st"/>
          <w:b/>
          <w:u w:val="single"/>
        </w:rPr>
        <w:t xml:space="preserve"> proposons de</w:t>
      </w:r>
      <w:r w:rsidR="000F7224" w:rsidRPr="002343F1">
        <w:rPr>
          <w:rStyle w:val="st"/>
        </w:rPr>
        <w:t xml:space="preserve"> : </w:t>
      </w:r>
    </w:p>
    <w:p w:rsidR="001E539D" w:rsidRPr="00C954BD" w:rsidRDefault="00C954BD" w:rsidP="001E539D">
      <w:pPr>
        <w:numPr>
          <w:ilvl w:val="0"/>
          <w:numId w:val="4"/>
        </w:numPr>
        <w:spacing w:after="120" w:line="240" w:lineRule="auto"/>
        <w:rPr>
          <w:rStyle w:val="st"/>
        </w:rPr>
      </w:pPr>
      <w:r w:rsidRPr="00C954BD">
        <w:rPr>
          <w:rStyle w:val="st"/>
          <w:b/>
        </w:rPr>
        <w:t>annuler la</w:t>
      </w:r>
      <w:r w:rsidR="001E539D" w:rsidRPr="00C954BD">
        <w:rPr>
          <w:rStyle w:val="st"/>
          <w:b/>
        </w:rPr>
        <w:t xml:space="preserve"> </w:t>
      </w:r>
      <w:r w:rsidRPr="00C954BD">
        <w:rPr>
          <w:rStyle w:val="st"/>
          <w:b/>
        </w:rPr>
        <w:t xml:space="preserve">hausse de la </w:t>
      </w:r>
      <w:r w:rsidR="001E539D" w:rsidRPr="00C954BD">
        <w:rPr>
          <w:rStyle w:val="st"/>
          <w:b/>
        </w:rPr>
        <w:t xml:space="preserve">TVA </w:t>
      </w:r>
      <w:r w:rsidRPr="00C954BD">
        <w:rPr>
          <w:rStyle w:val="st"/>
          <w:b/>
        </w:rPr>
        <w:t>prévu</w:t>
      </w:r>
      <w:r>
        <w:rPr>
          <w:rStyle w:val="st"/>
          <w:b/>
        </w:rPr>
        <w:t>e</w:t>
      </w:r>
      <w:r w:rsidRPr="00C954BD">
        <w:rPr>
          <w:rStyle w:val="st"/>
          <w:b/>
        </w:rPr>
        <w:t xml:space="preserve"> au 1</w:t>
      </w:r>
      <w:r w:rsidRPr="00C954BD">
        <w:rPr>
          <w:rStyle w:val="st"/>
          <w:b/>
          <w:vertAlign w:val="superscript"/>
        </w:rPr>
        <w:t>er</w:t>
      </w:r>
      <w:r w:rsidRPr="00C954BD">
        <w:rPr>
          <w:rStyle w:val="st"/>
          <w:b/>
        </w:rPr>
        <w:t xml:space="preserve"> janvier 2014</w:t>
      </w:r>
      <w:r w:rsidR="002306F8">
        <w:rPr>
          <w:rStyle w:val="st"/>
          <w:b/>
        </w:rPr>
        <w:t xml:space="preserve"> </w:t>
      </w:r>
      <w:r w:rsidR="002306F8" w:rsidRPr="002306F8">
        <w:rPr>
          <w:rStyle w:val="st"/>
          <w:i/>
        </w:rPr>
        <w:t>(7 milliards d’euros payés par les ménages pour financer une partie des 20 milliards de « Crédit Impôt Compétitivité Emploi » pour les grosses sociétés !)</w:t>
      </w:r>
      <w:r w:rsidRPr="00C954BD">
        <w:rPr>
          <w:rStyle w:val="st"/>
          <w:b/>
        </w:rPr>
        <w:t xml:space="preserve"> </w:t>
      </w:r>
      <w:r w:rsidR="001E539D" w:rsidRPr="00C954BD">
        <w:rPr>
          <w:rStyle w:val="st"/>
          <w:b/>
        </w:rPr>
        <w:t>;</w:t>
      </w:r>
    </w:p>
    <w:p w:rsidR="002306F8" w:rsidRPr="002306F8" w:rsidRDefault="002306F8" w:rsidP="002343F1">
      <w:pPr>
        <w:numPr>
          <w:ilvl w:val="0"/>
          <w:numId w:val="4"/>
        </w:numPr>
        <w:spacing w:after="120" w:line="240" w:lineRule="auto"/>
        <w:rPr>
          <w:rStyle w:val="st"/>
          <w:b/>
        </w:rPr>
      </w:pPr>
      <w:r w:rsidRPr="002306F8">
        <w:rPr>
          <w:rStyle w:val="st"/>
          <w:b/>
        </w:rPr>
        <w:t>réduire la TVA notamment sur tous les produits et services indispensables pour vivre ;</w:t>
      </w:r>
    </w:p>
    <w:p w:rsidR="000F7224" w:rsidRPr="002306F8" w:rsidRDefault="001E539D" w:rsidP="002343F1">
      <w:pPr>
        <w:numPr>
          <w:ilvl w:val="0"/>
          <w:numId w:val="4"/>
        </w:numPr>
        <w:spacing w:after="120" w:line="240" w:lineRule="auto"/>
        <w:rPr>
          <w:rStyle w:val="st"/>
          <w:b/>
        </w:rPr>
      </w:pPr>
      <w:r w:rsidRPr="002306F8">
        <w:rPr>
          <w:rStyle w:val="st"/>
          <w:b/>
        </w:rPr>
        <w:t>c</w:t>
      </w:r>
      <w:r w:rsidR="000F7224" w:rsidRPr="002306F8">
        <w:rPr>
          <w:rStyle w:val="st"/>
          <w:b/>
        </w:rPr>
        <w:t>alculer la taxe d’habitation en tenant compte des revenus</w:t>
      </w:r>
      <w:r w:rsidRPr="002306F8">
        <w:rPr>
          <w:rStyle w:val="st"/>
          <w:b/>
        </w:rPr>
        <w:t> ;</w:t>
      </w:r>
    </w:p>
    <w:p w:rsidR="000F7224" w:rsidRPr="002306F8" w:rsidRDefault="001E539D" w:rsidP="002343F1">
      <w:pPr>
        <w:numPr>
          <w:ilvl w:val="0"/>
          <w:numId w:val="4"/>
        </w:numPr>
        <w:spacing w:after="120" w:line="240" w:lineRule="auto"/>
        <w:rPr>
          <w:rStyle w:val="st"/>
          <w:b/>
        </w:rPr>
      </w:pPr>
      <w:r w:rsidRPr="002306F8">
        <w:rPr>
          <w:rStyle w:val="st"/>
          <w:b/>
        </w:rPr>
        <w:t>f</w:t>
      </w:r>
      <w:r w:rsidR="000F7224" w:rsidRPr="002306F8">
        <w:rPr>
          <w:rStyle w:val="st"/>
          <w:b/>
        </w:rPr>
        <w:t>aire cotiser à 0,5</w:t>
      </w:r>
      <w:r w:rsidRPr="002306F8">
        <w:rPr>
          <w:rStyle w:val="st"/>
          <w:b/>
        </w:rPr>
        <w:t xml:space="preserve"> </w:t>
      </w:r>
      <w:r w:rsidR="000F7224" w:rsidRPr="002306F8">
        <w:rPr>
          <w:rStyle w:val="st"/>
          <w:b/>
        </w:rPr>
        <w:t>% les énormes placements financiers des grandes</w:t>
      </w:r>
      <w:r w:rsidR="002306F8" w:rsidRPr="002306F8">
        <w:rPr>
          <w:rStyle w:val="st"/>
          <w:b/>
        </w:rPr>
        <w:t xml:space="preserve"> sociétés</w:t>
      </w:r>
      <w:r w:rsidRPr="002306F8">
        <w:rPr>
          <w:rStyle w:val="st"/>
          <w:b/>
        </w:rPr>
        <w:t> ;</w:t>
      </w:r>
    </w:p>
    <w:p w:rsidR="001E539D" w:rsidRPr="002306F8" w:rsidRDefault="001E539D" w:rsidP="002343F1">
      <w:pPr>
        <w:numPr>
          <w:ilvl w:val="0"/>
          <w:numId w:val="4"/>
        </w:numPr>
        <w:spacing w:after="120" w:line="240" w:lineRule="auto"/>
        <w:rPr>
          <w:rStyle w:val="st"/>
          <w:b/>
        </w:rPr>
      </w:pPr>
      <w:r w:rsidRPr="002306F8">
        <w:rPr>
          <w:rStyle w:val="st"/>
          <w:b/>
        </w:rPr>
        <w:t>r</w:t>
      </w:r>
      <w:r w:rsidR="000F7224" w:rsidRPr="002306F8">
        <w:rPr>
          <w:rStyle w:val="st"/>
          <w:b/>
        </w:rPr>
        <w:t>établir des impôts vraiment progressifs sur le revenu, sur les grandes fortunes, sur les sociétés pour faire contribuer les ménages et les entreprises en fonction de leurs revenus et bénéfices</w:t>
      </w:r>
      <w:r w:rsidRPr="002306F8">
        <w:rPr>
          <w:rStyle w:val="st"/>
          <w:b/>
        </w:rPr>
        <w:t> ;</w:t>
      </w:r>
    </w:p>
    <w:p w:rsidR="000F7224" w:rsidRPr="002306F8" w:rsidRDefault="001E539D" w:rsidP="002343F1">
      <w:pPr>
        <w:numPr>
          <w:ilvl w:val="0"/>
          <w:numId w:val="4"/>
        </w:numPr>
        <w:spacing w:after="120" w:line="240" w:lineRule="auto"/>
        <w:rPr>
          <w:rStyle w:val="st"/>
          <w:b/>
        </w:rPr>
      </w:pPr>
      <w:r w:rsidRPr="002306F8">
        <w:rPr>
          <w:rStyle w:val="st"/>
          <w:b/>
        </w:rPr>
        <w:t>moduler l’impôt sur les entreprises en fonction de leurs performances sociale et environnementale ;</w:t>
      </w:r>
    </w:p>
    <w:p w:rsidR="001E539D" w:rsidRPr="002306F8" w:rsidRDefault="001E539D" w:rsidP="00C954BD">
      <w:pPr>
        <w:numPr>
          <w:ilvl w:val="0"/>
          <w:numId w:val="4"/>
        </w:numPr>
        <w:spacing w:after="0" w:line="240" w:lineRule="auto"/>
        <w:rPr>
          <w:rStyle w:val="st"/>
          <w:b/>
        </w:rPr>
      </w:pPr>
      <w:r w:rsidRPr="002306F8">
        <w:rPr>
          <w:rStyle w:val="st"/>
          <w:b/>
        </w:rPr>
        <w:t>d</w:t>
      </w:r>
      <w:r w:rsidR="000F7224" w:rsidRPr="002306F8">
        <w:rPr>
          <w:rStyle w:val="st"/>
          <w:b/>
        </w:rPr>
        <w:t>évelopper la lutte contre la fraude et l’évasion fiscale des plus fortunés</w:t>
      </w:r>
      <w:r w:rsidRPr="002306F8">
        <w:rPr>
          <w:rStyle w:val="st"/>
          <w:b/>
        </w:rPr>
        <w:t>.</w:t>
      </w:r>
      <w:r w:rsidR="000F7224" w:rsidRPr="002306F8">
        <w:rPr>
          <w:rStyle w:val="st"/>
          <w:b/>
          <w:u w:val="single"/>
        </w:rPr>
        <w:t xml:space="preserve"> </w:t>
      </w:r>
    </w:p>
    <w:p w:rsidR="000F7224" w:rsidRPr="001E539D" w:rsidRDefault="000F7224" w:rsidP="001E539D">
      <w:pPr>
        <w:spacing w:after="120" w:line="240" w:lineRule="auto"/>
        <w:rPr>
          <w:rStyle w:val="st"/>
        </w:rPr>
      </w:pPr>
    </w:p>
    <w:tbl>
      <w:tblPr>
        <w:tblStyle w:val="Grille"/>
        <w:tblW w:w="0" w:type="auto"/>
        <w:tblLook w:val="04A0"/>
      </w:tblPr>
      <w:tblGrid>
        <w:gridCol w:w="2651"/>
        <w:gridCol w:w="2652"/>
        <w:gridCol w:w="3452"/>
        <w:gridCol w:w="1852"/>
      </w:tblGrid>
      <w:tr w:rsidR="002343F1" w:rsidRPr="002343F1">
        <w:tc>
          <w:tcPr>
            <w:tcW w:w="2651" w:type="dxa"/>
            <w:shd w:val="clear" w:color="auto" w:fill="BFBFBF" w:themeFill="background1" w:themeFillShade="BF"/>
          </w:tcPr>
          <w:p w:rsidR="002343F1" w:rsidRPr="001E539D" w:rsidRDefault="002343F1" w:rsidP="002343F1">
            <w:pPr>
              <w:jc w:val="center"/>
              <w:rPr>
                <w:b/>
                <w:sz w:val="24"/>
              </w:rPr>
            </w:pPr>
            <w:r w:rsidRPr="001E539D">
              <w:rPr>
                <w:b/>
                <w:sz w:val="24"/>
              </w:rPr>
              <w:t>Nom - Prénom</w:t>
            </w:r>
          </w:p>
        </w:tc>
        <w:tc>
          <w:tcPr>
            <w:tcW w:w="2652" w:type="dxa"/>
            <w:shd w:val="clear" w:color="auto" w:fill="BFBFBF" w:themeFill="background1" w:themeFillShade="BF"/>
          </w:tcPr>
          <w:p w:rsidR="002343F1" w:rsidRPr="001E539D" w:rsidRDefault="002343F1" w:rsidP="002343F1">
            <w:pPr>
              <w:jc w:val="center"/>
              <w:rPr>
                <w:b/>
                <w:sz w:val="24"/>
              </w:rPr>
            </w:pPr>
            <w:r w:rsidRPr="001E539D">
              <w:rPr>
                <w:b/>
                <w:sz w:val="24"/>
              </w:rPr>
              <w:t>Adresse</w:t>
            </w:r>
          </w:p>
        </w:tc>
        <w:tc>
          <w:tcPr>
            <w:tcW w:w="3452" w:type="dxa"/>
            <w:shd w:val="clear" w:color="auto" w:fill="BFBFBF" w:themeFill="background1" w:themeFillShade="BF"/>
          </w:tcPr>
          <w:p w:rsidR="002343F1" w:rsidRPr="001E539D" w:rsidRDefault="001E539D" w:rsidP="002343F1">
            <w:pPr>
              <w:jc w:val="center"/>
              <w:rPr>
                <w:b/>
                <w:sz w:val="24"/>
              </w:rPr>
            </w:pPr>
            <w:r w:rsidRPr="001E539D">
              <w:rPr>
                <w:b/>
                <w:sz w:val="24"/>
              </w:rPr>
              <w:t xml:space="preserve">Contact </w:t>
            </w:r>
            <w:r w:rsidRPr="001E539D">
              <w:rPr>
                <w:sz w:val="24"/>
              </w:rPr>
              <w:t>(tél. et mai</w:t>
            </w:r>
            <w:r w:rsidR="002343F1" w:rsidRPr="001E539D">
              <w:rPr>
                <w:sz w:val="24"/>
              </w:rPr>
              <w:t>l)</w:t>
            </w:r>
          </w:p>
        </w:tc>
        <w:tc>
          <w:tcPr>
            <w:tcW w:w="1852" w:type="dxa"/>
            <w:shd w:val="clear" w:color="auto" w:fill="BFBFBF" w:themeFill="background1" w:themeFillShade="BF"/>
          </w:tcPr>
          <w:p w:rsidR="002343F1" w:rsidRPr="001E539D" w:rsidRDefault="002343F1" w:rsidP="002343F1">
            <w:pPr>
              <w:jc w:val="center"/>
              <w:rPr>
                <w:b/>
                <w:sz w:val="24"/>
              </w:rPr>
            </w:pPr>
            <w:r w:rsidRPr="001E539D">
              <w:rPr>
                <w:b/>
                <w:sz w:val="24"/>
              </w:rPr>
              <w:t>Signature</w:t>
            </w:r>
          </w:p>
        </w:tc>
      </w:tr>
      <w:tr w:rsidR="002343F1" w:rsidRPr="002343F1">
        <w:trPr>
          <w:trHeight w:val="709"/>
        </w:trPr>
        <w:tc>
          <w:tcPr>
            <w:tcW w:w="2651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26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34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18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</w:tr>
      <w:tr w:rsidR="002343F1" w:rsidRPr="002343F1">
        <w:trPr>
          <w:trHeight w:val="709"/>
        </w:trPr>
        <w:tc>
          <w:tcPr>
            <w:tcW w:w="2651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26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34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18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</w:tr>
      <w:tr w:rsidR="002343F1" w:rsidRPr="002343F1">
        <w:trPr>
          <w:trHeight w:val="709"/>
        </w:trPr>
        <w:tc>
          <w:tcPr>
            <w:tcW w:w="2651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26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34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18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</w:tr>
      <w:tr w:rsidR="002343F1" w:rsidRPr="002343F1">
        <w:trPr>
          <w:trHeight w:val="709"/>
        </w:trPr>
        <w:tc>
          <w:tcPr>
            <w:tcW w:w="2651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26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34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18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</w:tr>
      <w:tr w:rsidR="002343F1" w:rsidRPr="002343F1">
        <w:trPr>
          <w:trHeight w:val="709"/>
        </w:trPr>
        <w:tc>
          <w:tcPr>
            <w:tcW w:w="2651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26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34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18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</w:tr>
      <w:tr w:rsidR="002343F1" w:rsidRPr="002343F1">
        <w:trPr>
          <w:trHeight w:val="709"/>
        </w:trPr>
        <w:tc>
          <w:tcPr>
            <w:tcW w:w="2651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26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34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18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</w:tr>
      <w:tr w:rsidR="002343F1" w:rsidRPr="002343F1">
        <w:trPr>
          <w:trHeight w:val="709"/>
        </w:trPr>
        <w:tc>
          <w:tcPr>
            <w:tcW w:w="2651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26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34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18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</w:tr>
      <w:tr w:rsidR="002343F1" w:rsidRPr="002343F1">
        <w:trPr>
          <w:trHeight w:val="709"/>
        </w:trPr>
        <w:tc>
          <w:tcPr>
            <w:tcW w:w="2651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26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34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  <w:tc>
          <w:tcPr>
            <w:tcW w:w="1852" w:type="dxa"/>
          </w:tcPr>
          <w:p w:rsidR="002343F1" w:rsidRPr="002343F1" w:rsidRDefault="002343F1">
            <w:pPr>
              <w:rPr>
                <w:sz w:val="36"/>
              </w:rPr>
            </w:pPr>
          </w:p>
        </w:tc>
      </w:tr>
      <w:tr w:rsidR="002343F1" w:rsidRPr="002343F1">
        <w:trPr>
          <w:trHeight w:val="709"/>
        </w:trPr>
        <w:tc>
          <w:tcPr>
            <w:tcW w:w="2651" w:type="dxa"/>
          </w:tcPr>
          <w:p w:rsidR="002343F1" w:rsidRPr="002343F1" w:rsidRDefault="002343F1" w:rsidP="00C2132C">
            <w:pPr>
              <w:rPr>
                <w:sz w:val="36"/>
              </w:rPr>
            </w:pPr>
          </w:p>
        </w:tc>
        <w:tc>
          <w:tcPr>
            <w:tcW w:w="2652" w:type="dxa"/>
          </w:tcPr>
          <w:p w:rsidR="002343F1" w:rsidRPr="002343F1" w:rsidRDefault="002343F1" w:rsidP="00C2132C">
            <w:pPr>
              <w:rPr>
                <w:sz w:val="36"/>
              </w:rPr>
            </w:pPr>
          </w:p>
        </w:tc>
        <w:tc>
          <w:tcPr>
            <w:tcW w:w="3452" w:type="dxa"/>
          </w:tcPr>
          <w:p w:rsidR="002343F1" w:rsidRPr="002343F1" w:rsidRDefault="002343F1" w:rsidP="00C2132C">
            <w:pPr>
              <w:rPr>
                <w:sz w:val="36"/>
              </w:rPr>
            </w:pPr>
          </w:p>
        </w:tc>
        <w:tc>
          <w:tcPr>
            <w:tcW w:w="1852" w:type="dxa"/>
          </w:tcPr>
          <w:p w:rsidR="002343F1" w:rsidRPr="002343F1" w:rsidRDefault="002343F1" w:rsidP="00C2132C">
            <w:pPr>
              <w:rPr>
                <w:sz w:val="36"/>
              </w:rPr>
            </w:pPr>
          </w:p>
        </w:tc>
      </w:tr>
      <w:tr w:rsidR="002343F1" w:rsidRPr="002343F1">
        <w:trPr>
          <w:trHeight w:val="709"/>
        </w:trPr>
        <w:tc>
          <w:tcPr>
            <w:tcW w:w="2651" w:type="dxa"/>
          </w:tcPr>
          <w:p w:rsidR="002343F1" w:rsidRPr="002343F1" w:rsidRDefault="002343F1" w:rsidP="00C2132C">
            <w:pPr>
              <w:rPr>
                <w:sz w:val="36"/>
              </w:rPr>
            </w:pPr>
          </w:p>
        </w:tc>
        <w:tc>
          <w:tcPr>
            <w:tcW w:w="2652" w:type="dxa"/>
          </w:tcPr>
          <w:p w:rsidR="002343F1" w:rsidRPr="002343F1" w:rsidRDefault="002343F1" w:rsidP="00C2132C">
            <w:pPr>
              <w:rPr>
                <w:sz w:val="36"/>
              </w:rPr>
            </w:pPr>
          </w:p>
        </w:tc>
        <w:tc>
          <w:tcPr>
            <w:tcW w:w="3452" w:type="dxa"/>
          </w:tcPr>
          <w:p w:rsidR="002343F1" w:rsidRPr="002343F1" w:rsidRDefault="002343F1" w:rsidP="00C2132C">
            <w:pPr>
              <w:rPr>
                <w:sz w:val="36"/>
              </w:rPr>
            </w:pPr>
          </w:p>
        </w:tc>
        <w:tc>
          <w:tcPr>
            <w:tcW w:w="1852" w:type="dxa"/>
          </w:tcPr>
          <w:p w:rsidR="002343F1" w:rsidRPr="002343F1" w:rsidRDefault="002343F1" w:rsidP="00C2132C">
            <w:pPr>
              <w:rPr>
                <w:sz w:val="36"/>
              </w:rPr>
            </w:pPr>
          </w:p>
        </w:tc>
      </w:tr>
      <w:tr w:rsidR="002343F1" w:rsidRPr="002343F1">
        <w:trPr>
          <w:trHeight w:val="709"/>
        </w:trPr>
        <w:tc>
          <w:tcPr>
            <w:tcW w:w="2651" w:type="dxa"/>
          </w:tcPr>
          <w:p w:rsidR="002343F1" w:rsidRPr="002343F1" w:rsidRDefault="002343F1" w:rsidP="00C2132C">
            <w:pPr>
              <w:rPr>
                <w:sz w:val="36"/>
              </w:rPr>
            </w:pPr>
          </w:p>
        </w:tc>
        <w:tc>
          <w:tcPr>
            <w:tcW w:w="2652" w:type="dxa"/>
          </w:tcPr>
          <w:p w:rsidR="002343F1" w:rsidRPr="002343F1" w:rsidRDefault="002343F1" w:rsidP="00C2132C">
            <w:pPr>
              <w:rPr>
                <w:sz w:val="36"/>
              </w:rPr>
            </w:pPr>
          </w:p>
        </w:tc>
        <w:tc>
          <w:tcPr>
            <w:tcW w:w="3452" w:type="dxa"/>
          </w:tcPr>
          <w:p w:rsidR="002343F1" w:rsidRPr="002343F1" w:rsidRDefault="002343F1" w:rsidP="00C2132C">
            <w:pPr>
              <w:rPr>
                <w:sz w:val="36"/>
              </w:rPr>
            </w:pPr>
          </w:p>
        </w:tc>
        <w:tc>
          <w:tcPr>
            <w:tcW w:w="1852" w:type="dxa"/>
          </w:tcPr>
          <w:p w:rsidR="002343F1" w:rsidRPr="002343F1" w:rsidRDefault="002343F1" w:rsidP="00C2132C">
            <w:pPr>
              <w:rPr>
                <w:sz w:val="36"/>
              </w:rPr>
            </w:pPr>
          </w:p>
        </w:tc>
      </w:tr>
      <w:tr w:rsidR="002343F1" w:rsidRPr="002343F1">
        <w:trPr>
          <w:trHeight w:val="709"/>
        </w:trPr>
        <w:tc>
          <w:tcPr>
            <w:tcW w:w="2651" w:type="dxa"/>
          </w:tcPr>
          <w:p w:rsidR="002343F1" w:rsidRPr="002343F1" w:rsidRDefault="002343F1" w:rsidP="00C2132C">
            <w:pPr>
              <w:rPr>
                <w:sz w:val="36"/>
              </w:rPr>
            </w:pPr>
          </w:p>
        </w:tc>
        <w:tc>
          <w:tcPr>
            <w:tcW w:w="2652" w:type="dxa"/>
          </w:tcPr>
          <w:p w:rsidR="002343F1" w:rsidRPr="002343F1" w:rsidRDefault="002343F1" w:rsidP="00C2132C">
            <w:pPr>
              <w:rPr>
                <w:sz w:val="36"/>
              </w:rPr>
            </w:pPr>
          </w:p>
        </w:tc>
        <w:tc>
          <w:tcPr>
            <w:tcW w:w="3452" w:type="dxa"/>
          </w:tcPr>
          <w:p w:rsidR="002343F1" w:rsidRPr="002343F1" w:rsidRDefault="002343F1" w:rsidP="00C2132C">
            <w:pPr>
              <w:rPr>
                <w:sz w:val="36"/>
              </w:rPr>
            </w:pPr>
          </w:p>
        </w:tc>
        <w:tc>
          <w:tcPr>
            <w:tcW w:w="1852" w:type="dxa"/>
          </w:tcPr>
          <w:p w:rsidR="002343F1" w:rsidRPr="002343F1" w:rsidRDefault="002343F1" w:rsidP="00C2132C">
            <w:pPr>
              <w:rPr>
                <w:sz w:val="36"/>
              </w:rPr>
            </w:pPr>
          </w:p>
        </w:tc>
      </w:tr>
    </w:tbl>
    <w:p w:rsidR="005E40A7" w:rsidRDefault="005E40A7"/>
    <w:sectPr w:rsidR="005E40A7" w:rsidSect="00C954BD">
      <w:pgSz w:w="11906" w:h="16838"/>
      <w:pgMar w:top="45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C70614F"/>
    <w:multiLevelType w:val="hybridMultilevel"/>
    <w:tmpl w:val="79844854"/>
    <w:lvl w:ilvl="0" w:tplc="E93433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42A37"/>
    <w:multiLevelType w:val="hybridMultilevel"/>
    <w:tmpl w:val="5F465CC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AA6BD5"/>
    <w:multiLevelType w:val="hybridMultilevel"/>
    <w:tmpl w:val="0FEE9A5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706FBB"/>
    <w:multiLevelType w:val="hybridMultilevel"/>
    <w:tmpl w:val="6E0EA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332AF"/>
    <w:multiLevelType w:val="hybridMultilevel"/>
    <w:tmpl w:val="1F508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0F7224"/>
    <w:rsid w:val="000F7224"/>
    <w:rsid w:val="001E539D"/>
    <w:rsid w:val="002306F8"/>
    <w:rsid w:val="002343F1"/>
    <w:rsid w:val="002516FD"/>
    <w:rsid w:val="005577ED"/>
    <w:rsid w:val="005E40A7"/>
    <w:rsid w:val="00621E94"/>
    <w:rsid w:val="00856F19"/>
    <w:rsid w:val="00A225CC"/>
    <w:rsid w:val="00A95CC6"/>
    <w:rsid w:val="00AE224A"/>
    <w:rsid w:val="00B5513B"/>
    <w:rsid w:val="00C954BD"/>
    <w:rsid w:val="00D3266A"/>
    <w:rsid w:val="00E26949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24"/>
    <w:rPr>
      <w:rFonts w:ascii="Calibri" w:eastAsia="Calibri" w:hAnsi="Calibri" w:cs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st">
    <w:name w:val="st"/>
    <w:basedOn w:val="Policepardfaut"/>
    <w:rsid w:val="000F7224"/>
  </w:style>
  <w:style w:type="table" w:styleId="Grille">
    <w:name w:val="Table Grid"/>
    <w:basedOn w:val="TableauNormal"/>
    <w:uiPriority w:val="59"/>
    <w:rsid w:val="000F7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34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cf.oise@wanadoo.fr" TargetMode="External"/><Relationship Id="rId6" Type="http://schemas.openxmlformats.org/officeDocument/2006/relationships/hyperlink" Target="http://oise.pcf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985</Characters>
  <Application>Microsoft Word 12.1.0</Application>
  <DocSecurity>0</DocSecurity>
  <Lines>8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Aury</dc:creator>
  <cp:lastModifiedBy>Claude COURTIN</cp:lastModifiedBy>
  <cp:revision>3</cp:revision>
  <cp:lastPrinted>2013-11-06T17:50:00Z</cp:lastPrinted>
  <dcterms:created xsi:type="dcterms:W3CDTF">2013-12-03T13:47:00Z</dcterms:created>
  <dcterms:modified xsi:type="dcterms:W3CDTF">2013-12-04T15:29:00Z</dcterms:modified>
</cp:coreProperties>
</file>